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01" w:rsidRPr="00AF6301" w:rsidRDefault="00AF6301" w:rsidP="00AF6301">
      <w:pPr>
        <w:jc w:val="center"/>
        <w:rPr>
          <w:rFonts w:ascii="Arial" w:hAnsi="Arial" w:cs="Arial"/>
          <w:b/>
        </w:rPr>
      </w:pPr>
      <w:r w:rsidRPr="00AF6301">
        <w:rPr>
          <w:rFonts w:ascii="Arial" w:hAnsi="Arial" w:cs="Arial"/>
          <w:b/>
        </w:rPr>
        <w:t>BEFORE THE ODISHA ELECTRICITY REGULATORY COMMISSION, BIDYUT NIYAMAK BHAWAN, Unit-VIII, BHUBANESWAR</w:t>
      </w:r>
    </w:p>
    <w:p w:rsidR="002163D1" w:rsidRPr="00AF6301" w:rsidRDefault="00AF6301" w:rsidP="00417096">
      <w:pPr>
        <w:pStyle w:val="BodyTextIndent2"/>
        <w:spacing w:line="276" w:lineRule="auto"/>
        <w:ind w:left="2880" w:hanging="2880"/>
        <w:jc w:val="right"/>
        <w:rPr>
          <w:rFonts w:ascii="Arial" w:hAnsi="Arial" w:cs="Arial"/>
          <w:b/>
          <w:sz w:val="22"/>
          <w:szCs w:val="22"/>
        </w:rPr>
      </w:pPr>
      <w:r w:rsidRPr="00AF6301">
        <w:rPr>
          <w:rFonts w:ascii="Arial" w:hAnsi="Arial" w:cs="Arial"/>
          <w:sz w:val="22"/>
          <w:szCs w:val="22"/>
        </w:rPr>
        <w:t xml:space="preserve">                                                                                         </w:t>
      </w:r>
      <w:r w:rsidR="001D6668">
        <w:rPr>
          <w:rFonts w:ascii="Arial" w:hAnsi="Arial" w:cs="Arial"/>
          <w:b/>
          <w:sz w:val="22"/>
          <w:szCs w:val="22"/>
          <w:u w:val="single"/>
        </w:rPr>
        <w:t xml:space="preserve">Case No. </w:t>
      </w:r>
      <w:r w:rsidR="00AF0ED1">
        <w:rPr>
          <w:rFonts w:ascii="Arial" w:hAnsi="Arial" w:cs="Arial"/>
          <w:b/>
          <w:sz w:val="22"/>
          <w:szCs w:val="22"/>
          <w:u w:val="single"/>
        </w:rPr>
        <w:t>71</w:t>
      </w:r>
      <w:r w:rsidRPr="00AF6301">
        <w:rPr>
          <w:rFonts w:ascii="Arial" w:hAnsi="Arial" w:cs="Arial"/>
          <w:b/>
          <w:sz w:val="22"/>
          <w:szCs w:val="22"/>
          <w:u w:val="single"/>
        </w:rPr>
        <w:t>/201</w:t>
      </w:r>
      <w:r w:rsidR="00AF0ED1">
        <w:rPr>
          <w:rFonts w:ascii="Arial" w:hAnsi="Arial" w:cs="Arial"/>
          <w:b/>
          <w:sz w:val="22"/>
          <w:szCs w:val="22"/>
          <w:u w:val="single"/>
        </w:rPr>
        <w:t>4</w:t>
      </w:r>
    </w:p>
    <w:p w:rsidR="002163D1" w:rsidRPr="00AF6301" w:rsidRDefault="00417096" w:rsidP="002163D1">
      <w:pPr>
        <w:pStyle w:val="BodyTextIndent2"/>
        <w:spacing w:line="276" w:lineRule="auto"/>
        <w:ind w:left="2880" w:hanging="2880"/>
        <w:jc w:val="both"/>
        <w:rPr>
          <w:rFonts w:ascii="Arial" w:hAnsi="Arial" w:cs="Arial"/>
          <w:b/>
          <w:sz w:val="22"/>
          <w:szCs w:val="22"/>
        </w:rPr>
      </w:pPr>
      <w:r>
        <w:rPr>
          <w:rFonts w:ascii="Arial" w:hAnsi="Arial" w:cs="Arial"/>
          <w:b/>
          <w:sz w:val="22"/>
          <w:szCs w:val="22"/>
        </w:rPr>
        <w:t>IN THE MATTER OF:</w:t>
      </w:r>
      <w:r w:rsidR="002163D1" w:rsidRPr="00AF6301">
        <w:rPr>
          <w:rFonts w:ascii="Arial" w:hAnsi="Arial" w:cs="Arial"/>
          <w:b/>
          <w:sz w:val="22"/>
          <w:szCs w:val="22"/>
        </w:rPr>
        <w:t xml:space="preserve"> </w:t>
      </w:r>
      <w:r w:rsidR="002163D1" w:rsidRPr="00AF6301">
        <w:rPr>
          <w:rFonts w:ascii="Arial" w:hAnsi="Arial" w:cs="Arial"/>
          <w:sz w:val="22"/>
          <w:szCs w:val="22"/>
        </w:rPr>
        <w:t>North Eastern Electricity Supply Company of O</w:t>
      </w:r>
      <w:r w:rsidR="001D6668">
        <w:rPr>
          <w:rFonts w:ascii="Arial" w:hAnsi="Arial" w:cs="Arial"/>
          <w:sz w:val="22"/>
          <w:szCs w:val="22"/>
        </w:rPr>
        <w:t>dish</w:t>
      </w:r>
      <w:r w:rsidR="002163D1" w:rsidRPr="00AF6301">
        <w:rPr>
          <w:rFonts w:ascii="Arial" w:hAnsi="Arial" w:cs="Arial"/>
          <w:sz w:val="22"/>
          <w:szCs w:val="22"/>
        </w:rPr>
        <w:t>a Limited (NESCO</w:t>
      </w:r>
      <w:r>
        <w:rPr>
          <w:rFonts w:ascii="Arial" w:hAnsi="Arial" w:cs="Arial"/>
          <w:sz w:val="22"/>
          <w:szCs w:val="22"/>
        </w:rPr>
        <w:t>)</w:t>
      </w:r>
      <w:r w:rsidR="004D5980">
        <w:rPr>
          <w:rFonts w:ascii="Arial" w:hAnsi="Arial" w:cs="Arial"/>
          <w:sz w:val="22"/>
          <w:szCs w:val="22"/>
        </w:rPr>
        <w:t xml:space="preserve">                                                             …...</w:t>
      </w:r>
      <w:r w:rsidR="00396FC3">
        <w:rPr>
          <w:rFonts w:ascii="Arial" w:hAnsi="Arial" w:cs="Arial"/>
          <w:sz w:val="22"/>
          <w:szCs w:val="22"/>
        </w:rPr>
        <w:t>.</w:t>
      </w:r>
      <w:r w:rsidR="00396FC3" w:rsidRPr="00396FC3">
        <w:rPr>
          <w:rFonts w:ascii="Arial" w:hAnsi="Arial" w:cs="Arial"/>
          <w:b/>
          <w:sz w:val="22"/>
          <w:szCs w:val="22"/>
        </w:rPr>
        <w:t>Applicant</w:t>
      </w:r>
    </w:p>
    <w:p w:rsidR="002163D1" w:rsidRPr="00AF6301" w:rsidRDefault="002163D1" w:rsidP="002163D1">
      <w:pPr>
        <w:ind w:left="1980" w:firstLine="720"/>
        <w:jc w:val="both"/>
        <w:rPr>
          <w:rFonts w:ascii="Arial" w:hAnsi="Arial" w:cs="Arial"/>
        </w:rPr>
      </w:pPr>
    </w:p>
    <w:p w:rsidR="002163D1" w:rsidRPr="00AF6301" w:rsidRDefault="002163D1" w:rsidP="002163D1">
      <w:pPr>
        <w:ind w:left="1980" w:firstLine="720"/>
        <w:jc w:val="both"/>
        <w:rPr>
          <w:rFonts w:ascii="Arial" w:hAnsi="Arial" w:cs="Arial"/>
          <w:b/>
          <w:bCs/>
        </w:rPr>
      </w:pPr>
      <w:r w:rsidRPr="00AF6301">
        <w:rPr>
          <w:rFonts w:ascii="Arial" w:hAnsi="Arial" w:cs="Arial"/>
        </w:rPr>
        <w:t xml:space="preserve">    </w:t>
      </w:r>
      <w:r w:rsidRPr="00AF6301">
        <w:rPr>
          <w:rFonts w:ascii="Arial" w:hAnsi="Arial" w:cs="Arial"/>
          <w:b/>
          <w:bCs/>
        </w:rPr>
        <w:t>AND</w:t>
      </w:r>
    </w:p>
    <w:p w:rsidR="002163D1" w:rsidRPr="00AF6301" w:rsidRDefault="002163D1" w:rsidP="006307B7">
      <w:pPr>
        <w:ind w:left="7470" w:hanging="7470"/>
        <w:jc w:val="both"/>
        <w:rPr>
          <w:rFonts w:ascii="Arial" w:hAnsi="Arial" w:cs="Arial"/>
          <w:b/>
        </w:rPr>
      </w:pPr>
      <w:r w:rsidRPr="00AF6301">
        <w:rPr>
          <w:rFonts w:ascii="Arial" w:hAnsi="Arial" w:cs="Arial"/>
          <w:b/>
        </w:rPr>
        <w:t>IN THE MATTER OF:</w:t>
      </w:r>
      <w:r w:rsidR="00417096">
        <w:rPr>
          <w:rFonts w:ascii="Arial" w:hAnsi="Arial" w:cs="Arial"/>
          <w:b/>
        </w:rPr>
        <w:t xml:space="preserve"> </w:t>
      </w:r>
      <w:r w:rsidRPr="00AF6301">
        <w:rPr>
          <w:rFonts w:ascii="Arial" w:hAnsi="Arial" w:cs="Arial"/>
        </w:rPr>
        <w:t xml:space="preserve">M/s. </w:t>
      </w:r>
      <w:r w:rsidR="006307B7">
        <w:rPr>
          <w:rFonts w:ascii="Arial" w:hAnsi="Arial" w:cs="Arial"/>
        </w:rPr>
        <w:t>Tata Steel</w:t>
      </w:r>
      <w:r w:rsidRPr="00AF6301">
        <w:rPr>
          <w:rFonts w:ascii="Arial" w:hAnsi="Arial" w:cs="Arial"/>
        </w:rPr>
        <w:t xml:space="preserve"> Limited, represented by Sri </w:t>
      </w:r>
      <w:r w:rsidR="006307B7">
        <w:rPr>
          <w:rFonts w:ascii="Arial" w:hAnsi="Arial" w:cs="Arial"/>
        </w:rPr>
        <w:t>Manikanta Naik</w:t>
      </w:r>
      <w:r w:rsidRPr="00AF6301">
        <w:rPr>
          <w:rFonts w:ascii="Arial" w:hAnsi="Arial" w:cs="Arial"/>
        </w:rPr>
        <w:t xml:space="preserve">, </w:t>
      </w:r>
      <w:r w:rsidR="006307B7">
        <w:rPr>
          <w:rFonts w:ascii="Arial" w:hAnsi="Arial" w:cs="Arial"/>
        </w:rPr>
        <w:t>BBSR</w:t>
      </w:r>
      <w:r w:rsidR="004D5980">
        <w:rPr>
          <w:rFonts w:ascii="Arial" w:hAnsi="Arial" w:cs="Arial"/>
        </w:rPr>
        <w:t xml:space="preserve">                                  </w:t>
      </w:r>
      <w:r w:rsidR="006307B7">
        <w:rPr>
          <w:rFonts w:ascii="Arial" w:hAnsi="Arial" w:cs="Arial"/>
        </w:rPr>
        <w:t xml:space="preserve">                                                                          </w:t>
      </w:r>
      <w:r w:rsidR="004D5980">
        <w:rPr>
          <w:rFonts w:ascii="Arial" w:hAnsi="Arial" w:cs="Arial"/>
        </w:rPr>
        <w:t>.......</w:t>
      </w:r>
      <w:r w:rsidR="004D5980" w:rsidRPr="004D5980">
        <w:rPr>
          <w:rFonts w:ascii="Arial" w:hAnsi="Arial" w:cs="Arial"/>
          <w:b/>
        </w:rPr>
        <w:t>Objector</w:t>
      </w:r>
      <w:r w:rsidRPr="00AF6301">
        <w:rPr>
          <w:rFonts w:ascii="Arial" w:hAnsi="Arial" w:cs="Arial"/>
        </w:rPr>
        <w:tab/>
      </w:r>
      <w:r w:rsidR="006307B7">
        <w:rPr>
          <w:rFonts w:ascii="Arial" w:hAnsi="Arial" w:cs="Arial"/>
          <w:b/>
        </w:rPr>
        <w:tab/>
        <w:t xml:space="preserve">       </w:t>
      </w:r>
      <w:r w:rsidRPr="00AF6301">
        <w:rPr>
          <w:rFonts w:ascii="Arial" w:hAnsi="Arial" w:cs="Arial"/>
          <w:b/>
        </w:rPr>
        <w:t xml:space="preserve">                                                                           </w:t>
      </w:r>
    </w:p>
    <w:p w:rsidR="002163D1" w:rsidRPr="00AF6301" w:rsidRDefault="002163D1" w:rsidP="002163D1">
      <w:pPr>
        <w:jc w:val="both"/>
        <w:rPr>
          <w:rFonts w:ascii="Arial" w:hAnsi="Arial" w:cs="Arial"/>
          <w:b/>
          <w:u w:val="single"/>
        </w:rPr>
      </w:pPr>
      <w:r w:rsidRPr="00AF6301">
        <w:rPr>
          <w:rFonts w:ascii="Arial" w:hAnsi="Arial" w:cs="Arial"/>
          <w:b/>
          <w:u w:val="single"/>
        </w:rPr>
        <w:t xml:space="preserve">Rejoinder to the objection filed by M/s. </w:t>
      </w:r>
      <w:r w:rsidR="002032CC">
        <w:rPr>
          <w:rFonts w:ascii="Arial" w:hAnsi="Arial" w:cs="Arial"/>
          <w:b/>
          <w:u w:val="single"/>
        </w:rPr>
        <w:t>Tata Steel</w:t>
      </w:r>
      <w:r w:rsidRPr="00AF6301">
        <w:rPr>
          <w:rFonts w:ascii="Arial" w:hAnsi="Arial" w:cs="Arial"/>
          <w:b/>
          <w:u w:val="single"/>
        </w:rPr>
        <w:t xml:space="preserve"> Limited, represented by Sri </w:t>
      </w:r>
      <w:r w:rsidR="002032CC">
        <w:rPr>
          <w:rFonts w:ascii="Arial" w:hAnsi="Arial" w:cs="Arial"/>
          <w:b/>
          <w:u w:val="single"/>
        </w:rPr>
        <w:t>Manikanta Naik,</w:t>
      </w:r>
      <w:r w:rsidR="001D6668">
        <w:rPr>
          <w:rFonts w:ascii="Arial" w:hAnsi="Arial" w:cs="Arial"/>
          <w:b/>
          <w:u w:val="single"/>
        </w:rPr>
        <w:t xml:space="preserve"> </w:t>
      </w:r>
      <w:r w:rsidRPr="00AF6301">
        <w:rPr>
          <w:rFonts w:ascii="Arial" w:hAnsi="Arial" w:cs="Arial"/>
          <w:b/>
          <w:u w:val="single"/>
        </w:rPr>
        <w:t>B</w:t>
      </w:r>
      <w:r w:rsidR="002032CC">
        <w:rPr>
          <w:rFonts w:ascii="Arial" w:hAnsi="Arial" w:cs="Arial"/>
          <w:b/>
          <w:u w:val="single"/>
        </w:rPr>
        <w:t>hubaneswar</w:t>
      </w:r>
      <w:r w:rsidRPr="00AF6301">
        <w:rPr>
          <w:rFonts w:ascii="Arial" w:hAnsi="Arial" w:cs="Arial"/>
          <w:b/>
          <w:u w:val="single"/>
        </w:rPr>
        <w:t xml:space="preserve"> against the Annual Revenue Requirement &amp; Retail Supply Tariff Application filed by NESCO for the year 201</w:t>
      </w:r>
      <w:r w:rsidR="00AF0ED1">
        <w:rPr>
          <w:rFonts w:ascii="Arial" w:hAnsi="Arial" w:cs="Arial"/>
          <w:b/>
          <w:u w:val="single"/>
        </w:rPr>
        <w:t>5</w:t>
      </w:r>
      <w:r w:rsidRPr="00AF6301">
        <w:rPr>
          <w:rFonts w:ascii="Arial" w:hAnsi="Arial" w:cs="Arial"/>
          <w:b/>
          <w:u w:val="single"/>
        </w:rPr>
        <w:t>-1</w:t>
      </w:r>
      <w:r w:rsidR="00AF0ED1">
        <w:rPr>
          <w:rFonts w:ascii="Arial" w:hAnsi="Arial" w:cs="Arial"/>
          <w:b/>
          <w:u w:val="single"/>
        </w:rPr>
        <w:t>6</w:t>
      </w:r>
    </w:p>
    <w:p w:rsidR="002163D1" w:rsidRPr="00AF6301" w:rsidRDefault="002163D1" w:rsidP="002163D1">
      <w:pPr>
        <w:spacing w:after="0"/>
        <w:jc w:val="both"/>
        <w:rPr>
          <w:rFonts w:ascii="Arial" w:hAnsi="Arial" w:cs="Arial"/>
          <w:b/>
        </w:rPr>
      </w:pPr>
    </w:p>
    <w:p w:rsidR="00C244A7" w:rsidRDefault="00C94B49" w:rsidP="00AF6301">
      <w:pPr>
        <w:pStyle w:val="ListParagraph"/>
        <w:numPr>
          <w:ilvl w:val="0"/>
          <w:numId w:val="1"/>
        </w:numPr>
        <w:spacing w:line="240" w:lineRule="auto"/>
        <w:ind w:hanging="630"/>
        <w:jc w:val="both"/>
        <w:rPr>
          <w:rFonts w:ascii="Arial" w:hAnsi="Arial" w:cs="Arial"/>
        </w:rPr>
      </w:pPr>
      <w:r>
        <w:rPr>
          <w:rFonts w:ascii="Arial" w:hAnsi="Arial" w:cs="Arial"/>
        </w:rPr>
        <w:t>The objector has compared the growth in BST &amp; Transmission charges/pu to the RST of EHT only whereas it should be BST vs Avg RST (including all categories).</w:t>
      </w:r>
    </w:p>
    <w:p w:rsidR="00DF0BDD" w:rsidRPr="00DF0BDD" w:rsidRDefault="00DF0BDD" w:rsidP="00DF0BDD">
      <w:pPr>
        <w:pStyle w:val="ListParagraph"/>
        <w:spacing w:line="240" w:lineRule="auto"/>
        <w:ind w:left="630"/>
        <w:jc w:val="both"/>
        <w:rPr>
          <w:rFonts w:ascii="Arial" w:hAnsi="Arial" w:cs="Arial"/>
        </w:rPr>
      </w:pPr>
    </w:p>
    <w:p w:rsidR="00DF0BDD" w:rsidRDefault="00C244A7" w:rsidP="00AF6301">
      <w:pPr>
        <w:pStyle w:val="ListParagraph"/>
        <w:spacing w:line="240" w:lineRule="auto"/>
        <w:ind w:left="630" w:hanging="630"/>
        <w:jc w:val="both"/>
        <w:rPr>
          <w:rFonts w:ascii="Arial" w:hAnsi="Arial" w:cs="Arial"/>
        </w:rPr>
      </w:pPr>
      <w:r w:rsidRPr="00AF6301">
        <w:rPr>
          <w:rFonts w:ascii="Arial" w:hAnsi="Arial" w:cs="Arial"/>
          <w:color w:val="FF0000"/>
        </w:rPr>
        <w:tab/>
      </w:r>
      <w:r w:rsidRPr="00AF6301">
        <w:rPr>
          <w:rFonts w:ascii="Arial" w:hAnsi="Arial" w:cs="Arial"/>
        </w:rPr>
        <w:t xml:space="preserve">It may be mentioned here that the analysis made in shape of P/u will not give the correct picture as the Avg. RST taken in shape of per unit will only holds good when the licensee would able to bill on the basis </w:t>
      </w:r>
      <w:r w:rsidR="00DF0BDD">
        <w:rPr>
          <w:rFonts w:ascii="Arial" w:hAnsi="Arial" w:cs="Arial"/>
        </w:rPr>
        <w:t xml:space="preserve">of </w:t>
      </w:r>
      <w:r w:rsidRPr="00AF6301">
        <w:rPr>
          <w:rFonts w:ascii="Arial" w:hAnsi="Arial" w:cs="Arial"/>
        </w:rPr>
        <w:t xml:space="preserve">normative loss level approved by Hon’ble Commission. </w:t>
      </w:r>
    </w:p>
    <w:p w:rsidR="00486C6C" w:rsidRPr="00AF6301" w:rsidRDefault="00486C6C" w:rsidP="00486C6C">
      <w:pPr>
        <w:numPr>
          <w:ilvl w:val="0"/>
          <w:numId w:val="1"/>
        </w:numPr>
        <w:tabs>
          <w:tab w:val="num" w:pos="709"/>
        </w:tabs>
        <w:spacing w:after="0" w:line="240" w:lineRule="auto"/>
        <w:ind w:left="709" w:hanging="709"/>
        <w:jc w:val="both"/>
        <w:rPr>
          <w:rFonts w:ascii="Arial" w:hAnsi="Arial" w:cs="Arial"/>
          <w:b/>
        </w:rPr>
      </w:pPr>
      <w:r w:rsidRPr="00AF6301">
        <w:rPr>
          <w:rFonts w:ascii="Arial" w:hAnsi="Arial" w:cs="Arial"/>
          <w:lang w:val="en-GB"/>
        </w:rPr>
        <w:t xml:space="preserve">The tariff design, based on the surplus power scenario in </w:t>
      </w:r>
      <w:r w:rsidR="009D61FC">
        <w:rPr>
          <w:rFonts w:ascii="Arial" w:hAnsi="Arial" w:cs="Arial"/>
          <w:lang w:val="en-GB"/>
        </w:rPr>
        <w:t>previous years, which encourage</w:t>
      </w:r>
      <w:r w:rsidRPr="00AF6301">
        <w:rPr>
          <w:rFonts w:ascii="Arial" w:hAnsi="Arial" w:cs="Arial"/>
          <w:lang w:val="en-GB"/>
        </w:rPr>
        <w:t xml:space="preserve"> consumers to avail more power by incentivising tariff, based on load factor needs to be discontinued in present power deficit scenario. Allowing of special rebate in addition to the normal rebate that consumers are allowed on an assured energy off take has led to further financial deterioration. In light of the changed scenario of power shortage and the high cost of </w:t>
      </w:r>
      <w:r w:rsidR="00C94B49" w:rsidRPr="00AF6301">
        <w:rPr>
          <w:rFonts w:ascii="Arial" w:hAnsi="Arial" w:cs="Arial"/>
          <w:lang w:val="en-GB"/>
        </w:rPr>
        <w:t>power and</w:t>
      </w:r>
      <w:r w:rsidRPr="00AF6301">
        <w:rPr>
          <w:rFonts w:ascii="Arial" w:hAnsi="Arial" w:cs="Arial"/>
          <w:lang w:val="en-GB"/>
        </w:rPr>
        <w:t xml:space="preserve"> expected load growth in ensuing year after implementation of RGGVY and BGJ </w:t>
      </w:r>
      <w:r w:rsidR="00C94B49" w:rsidRPr="00AF6301">
        <w:rPr>
          <w:rFonts w:ascii="Arial" w:hAnsi="Arial" w:cs="Arial"/>
          <w:lang w:val="en-GB"/>
        </w:rPr>
        <w:t>Scheme,</w:t>
      </w:r>
      <w:r w:rsidRPr="00AF6301">
        <w:rPr>
          <w:rFonts w:ascii="Arial" w:hAnsi="Arial" w:cs="Arial"/>
          <w:lang w:val="en-GB"/>
        </w:rPr>
        <w:t xml:space="preserve"> it has been proposed to discontinue such </w:t>
      </w:r>
      <w:r w:rsidR="00C94B49" w:rsidRPr="00AF6301">
        <w:rPr>
          <w:rFonts w:ascii="Arial" w:hAnsi="Arial" w:cs="Arial"/>
          <w:lang w:val="en-GB"/>
        </w:rPr>
        <w:t>incentivising tariff</w:t>
      </w:r>
      <w:r w:rsidRPr="00AF6301">
        <w:rPr>
          <w:rFonts w:ascii="Arial" w:hAnsi="Arial" w:cs="Arial"/>
          <w:lang w:val="en-GB"/>
        </w:rPr>
        <w:t xml:space="preserve"> structure</w:t>
      </w:r>
      <w:r>
        <w:rPr>
          <w:rFonts w:ascii="Arial" w:hAnsi="Arial" w:cs="Arial"/>
          <w:lang w:val="en-GB"/>
        </w:rPr>
        <w:t>.</w:t>
      </w:r>
    </w:p>
    <w:p w:rsidR="00486C6C" w:rsidRDefault="00486C6C" w:rsidP="00AF6301">
      <w:pPr>
        <w:pStyle w:val="ListParagraph"/>
        <w:spacing w:line="240" w:lineRule="auto"/>
        <w:ind w:left="630" w:hanging="630"/>
        <w:jc w:val="both"/>
        <w:rPr>
          <w:rFonts w:ascii="Arial" w:hAnsi="Arial" w:cs="Arial"/>
        </w:rPr>
      </w:pPr>
    </w:p>
    <w:p w:rsidR="00C244A7" w:rsidRDefault="00C244A7" w:rsidP="00AF6301">
      <w:pPr>
        <w:pStyle w:val="ListParagraph"/>
        <w:spacing w:line="240" w:lineRule="auto"/>
        <w:ind w:left="630" w:hanging="630"/>
        <w:jc w:val="both"/>
        <w:rPr>
          <w:rFonts w:ascii="Arial" w:hAnsi="Arial" w:cs="Arial"/>
        </w:rPr>
      </w:pPr>
      <w:r w:rsidRPr="00AF6301">
        <w:rPr>
          <w:rFonts w:ascii="Arial" w:hAnsi="Arial" w:cs="Arial"/>
        </w:rPr>
        <w:t>.</w:t>
      </w:r>
    </w:p>
    <w:p w:rsidR="003710DD" w:rsidRDefault="003710DD" w:rsidP="003710DD">
      <w:pPr>
        <w:pStyle w:val="ListParagraph"/>
        <w:numPr>
          <w:ilvl w:val="0"/>
          <w:numId w:val="1"/>
        </w:numPr>
        <w:tabs>
          <w:tab w:val="left" w:pos="0"/>
        </w:tabs>
        <w:spacing w:after="0" w:line="240" w:lineRule="auto"/>
        <w:ind w:hanging="630"/>
        <w:jc w:val="both"/>
        <w:rPr>
          <w:rFonts w:ascii="Arial" w:hAnsi="Arial" w:cs="Arial"/>
          <w:b/>
          <w:u w:val="single"/>
        </w:rPr>
      </w:pPr>
      <w:r w:rsidRPr="008973F9">
        <w:rPr>
          <w:rFonts w:ascii="Arial" w:hAnsi="Arial" w:cs="Arial"/>
          <w:b/>
          <w:u w:val="single"/>
        </w:rPr>
        <w:t>Distribution Loss :</w:t>
      </w:r>
    </w:p>
    <w:p w:rsidR="003710DD" w:rsidRPr="009D61FC" w:rsidRDefault="009D61FC" w:rsidP="009D61FC">
      <w:pPr>
        <w:pStyle w:val="ListParagraph"/>
        <w:tabs>
          <w:tab w:val="left" w:pos="0"/>
        </w:tabs>
        <w:spacing w:after="0" w:line="240" w:lineRule="auto"/>
        <w:ind w:left="630"/>
        <w:jc w:val="both"/>
        <w:rPr>
          <w:rFonts w:ascii="Arial" w:hAnsi="Arial" w:cs="Arial"/>
          <w:b/>
        </w:rPr>
      </w:pPr>
      <w:r w:rsidRPr="009D61FC">
        <w:rPr>
          <w:rFonts w:ascii="Arial" w:hAnsi="Arial" w:cs="Arial"/>
        </w:rPr>
        <w:t xml:space="preserve">Hon’ble Commission is approving the Distribution loss of the licensee on normative basis without considering the ground reality. While complying the ARR, the licensee has adopted the loss reduction trajectory of Ministry of Power, Govt. of India communicated through Govt. of Odisha for the FY 2014-2022. For the FY 2015-16, Distribution loss of 30.90% has been considered. </w:t>
      </w:r>
    </w:p>
    <w:p w:rsidR="00BA2E27" w:rsidRDefault="00577FDE" w:rsidP="003710DD">
      <w:pPr>
        <w:pStyle w:val="ListParagraph"/>
        <w:tabs>
          <w:tab w:val="left" w:pos="0"/>
        </w:tabs>
        <w:spacing w:after="0" w:line="240" w:lineRule="auto"/>
        <w:ind w:left="630"/>
        <w:jc w:val="both"/>
        <w:rPr>
          <w:rFonts w:ascii="Arial" w:hAnsi="Arial" w:cs="Arial"/>
        </w:rPr>
      </w:pPr>
      <w:r w:rsidRPr="00A4297C">
        <w:rPr>
          <w:rFonts w:ascii="Arial" w:hAnsi="Arial" w:cs="Arial"/>
        </w:rPr>
        <w:t xml:space="preserve"> The T&amp;D loss target is need to be re- determined considering the detail submission made by the licensee in para </w:t>
      </w:r>
      <w:r>
        <w:rPr>
          <w:rFonts w:ascii="Arial" w:hAnsi="Arial" w:cs="Arial"/>
        </w:rPr>
        <w:t>6</w:t>
      </w:r>
      <w:r w:rsidRPr="00A4297C">
        <w:rPr>
          <w:rFonts w:ascii="Arial" w:hAnsi="Arial" w:cs="Arial"/>
        </w:rPr>
        <w:t>.</w:t>
      </w:r>
      <w:r>
        <w:rPr>
          <w:rFonts w:ascii="Arial" w:hAnsi="Arial" w:cs="Arial"/>
        </w:rPr>
        <w:t>3</w:t>
      </w:r>
      <w:r w:rsidRPr="00A4297C">
        <w:rPr>
          <w:rFonts w:ascii="Arial" w:hAnsi="Arial" w:cs="Arial"/>
        </w:rPr>
        <w:t xml:space="preserve">(Page </w:t>
      </w:r>
      <w:r>
        <w:rPr>
          <w:rFonts w:ascii="Arial" w:hAnsi="Arial" w:cs="Arial"/>
        </w:rPr>
        <w:t>66-67</w:t>
      </w:r>
      <w:r w:rsidRPr="00A4297C">
        <w:rPr>
          <w:rFonts w:ascii="Arial" w:hAnsi="Arial" w:cs="Arial"/>
        </w:rPr>
        <w:t>) of its ARR application.</w:t>
      </w:r>
      <w:r>
        <w:rPr>
          <w:rFonts w:ascii="Arial" w:hAnsi="Arial" w:cs="Arial"/>
        </w:rPr>
        <w:t xml:space="preserve"> Regarding steps taken by Licensee to improve performance has been submitted in ARR Application under para 5.2.</w:t>
      </w:r>
    </w:p>
    <w:p w:rsidR="00703372" w:rsidRDefault="00703372" w:rsidP="003710DD">
      <w:pPr>
        <w:pStyle w:val="ListParagraph"/>
        <w:tabs>
          <w:tab w:val="left" w:pos="0"/>
        </w:tabs>
        <w:spacing w:after="0" w:line="240" w:lineRule="auto"/>
        <w:ind w:left="630"/>
        <w:jc w:val="both"/>
        <w:rPr>
          <w:rFonts w:ascii="Arial" w:hAnsi="Arial" w:cs="Arial"/>
        </w:rPr>
      </w:pPr>
    </w:p>
    <w:p w:rsidR="00703372" w:rsidRPr="00703372" w:rsidRDefault="00703372" w:rsidP="00703372">
      <w:pPr>
        <w:pStyle w:val="ListParagraph"/>
        <w:numPr>
          <w:ilvl w:val="0"/>
          <w:numId w:val="1"/>
        </w:numPr>
        <w:tabs>
          <w:tab w:val="left" w:pos="0"/>
        </w:tabs>
        <w:spacing w:after="0" w:line="240" w:lineRule="auto"/>
        <w:ind w:hanging="630"/>
        <w:jc w:val="both"/>
        <w:rPr>
          <w:rFonts w:ascii="Arial" w:hAnsi="Arial" w:cs="Arial"/>
          <w:b/>
          <w:u w:val="single"/>
        </w:rPr>
      </w:pPr>
      <w:r w:rsidRPr="00703372">
        <w:rPr>
          <w:rFonts w:ascii="Arial" w:hAnsi="Arial" w:cs="Arial"/>
          <w:b/>
          <w:u w:val="single"/>
        </w:rPr>
        <w:t>Incentive for higher Power Factor:</w:t>
      </w:r>
    </w:p>
    <w:p w:rsidR="003710DD" w:rsidRDefault="003710DD" w:rsidP="00703372">
      <w:pPr>
        <w:pStyle w:val="ListParagraph"/>
        <w:spacing w:line="240" w:lineRule="auto"/>
        <w:ind w:left="1260" w:hanging="630"/>
        <w:jc w:val="both"/>
        <w:rPr>
          <w:rFonts w:ascii="Arial" w:hAnsi="Arial" w:cs="Arial"/>
        </w:rPr>
      </w:pPr>
    </w:p>
    <w:p w:rsidR="00703372" w:rsidRDefault="00703372" w:rsidP="00703372">
      <w:pPr>
        <w:pStyle w:val="ListParagraph"/>
        <w:spacing w:line="240" w:lineRule="auto"/>
        <w:ind w:left="630"/>
        <w:jc w:val="both"/>
        <w:rPr>
          <w:rFonts w:ascii="Arial" w:hAnsi="Arial" w:cs="Arial"/>
        </w:rPr>
      </w:pPr>
      <w:r>
        <w:rPr>
          <w:rFonts w:ascii="Arial" w:hAnsi="Arial" w:cs="Arial"/>
        </w:rPr>
        <w:t>The Hon’ble Commission has already clarified in the RST order of FY 2013-14 that by maintain power factor close to unity the consumer’s are able to kept their KVA demand at lower side and have become conscious of keeping their PF high for their own benefit. Hence incentive for maintain higher power factor is not justified.</w:t>
      </w:r>
    </w:p>
    <w:p w:rsidR="00703372" w:rsidRDefault="00703372" w:rsidP="00703372">
      <w:pPr>
        <w:pStyle w:val="ListParagraph"/>
        <w:spacing w:line="240" w:lineRule="auto"/>
        <w:ind w:left="630"/>
        <w:jc w:val="both"/>
        <w:rPr>
          <w:rFonts w:ascii="Arial" w:hAnsi="Arial" w:cs="Arial"/>
        </w:rPr>
      </w:pPr>
    </w:p>
    <w:p w:rsidR="005B3199" w:rsidRPr="00AF6301" w:rsidRDefault="00703372" w:rsidP="00E93571">
      <w:pPr>
        <w:pStyle w:val="ListParagraph"/>
        <w:spacing w:line="240" w:lineRule="auto"/>
        <w:ind w:left="630"/>
        <w:jc w:val="both"/>
        <w:rPr>
          <w:rFonts w:ascii="Arial" w:hAnsi="Arial" w:cs="Arial"/>
          <w:b/>
        </w:rPr>
      </w:pPr>
      <w:r>
        <w:rPr>
          <w:rFonts w:ascii="Arial" w:hAnsi="Arial" w:cs="Arial"/>
        </w:rPr>
        <w:t>The applicant has also suggested the adoption of KVAH billing so that the question of power factor penalty and incentive will not arise. The</w:t>
      </w:r>
      <w:r w:rsidR="002C26C4">
        <w:rPr>
          <w:rFonts w:ascii="Arial" w:hAnsi="Arial" w:cs="Arial"/>
        </w:rPr>
        <w:t xml:space="preserve"> detail submission on KVAH billing and power factor penalty in para </w:t>
      </w:r>
      <w:r w:rsidR="00DF432C">
        <w:rPr>
          <w:rFonts w:ascii="Arial" w:hAnsi="Arial" w:cs="Arial"/>
        </w:rPr>
        <w:t>7.2</w:t>
      </w:r>
      <w:r w:rsidR="002C26C4">
        <w:rPr>
          <w:rFonts w:ascii="Arial" w:hAnsi="Arial" w:cs="Arial"/>
        </w:rPr>
        <w:t xml:space="preserve"> &amp; </w:t>
      </w:r>
      <w:r w:rsidR="00DF432C">
        <w:rPr>
          <w:rFonts w:ascii="Arial" w:hAnsi="Arial" w:cs="Arial"/>
        </w:rPr>
        <w:t>7.3</w:t>
      </w:r>
      <w:r w:rsidR="002C26C4">
        <w:rPr>
          <w:rFonts w:ascii="Arial" w:hAnsi="Arial" w:cs="Arial"/>
        </w:rPr>
        <w:t xml:space="preserve"> respectively of ARR application FY 2014-15 may please be referred by petitioner for further clarification.</w:t>
      </w:r>
      <w:r w:rsidR="0028171F" w:rsidRPr="00AF6301">
        <w:rPr>
          <w:rFonts w:ascii="Arial" w:hAnsi="Arial" w:cs="Arial"/>
        </w:rPr>
        <w:tab/>
      </w:r>
    </w:p>
    <w:p w:rsidR="00622D15" w:rsidRPr="00A877B9" w:rsidRDefault="00622D15" w:rsidP="00AF6301">
      <w:pPr>
        <w:numPr>
          <w:ilvl w:val="0"/>
          <w:numId w:val="1"/>
        </w:numPr>
        <w:spacing w:after="0" w:line="240" w:lineRule="auto"/>
        <w:ind w:left="0" w:firstLine="0"/>
        <w:jc w:val="both"/>
        <w:rPr>
          <w:rFonts w:ascii="Arial" w:hAnsi="Arial" w:cs="Arial"/>
          <w:b/>
          <w:u w:val="single"/>
        </w:rPr>
      </w:pPr>
      <w:r w:rsidRPr="00A877B9">
        <w:rPr>
          <w:rFonts w:ascii="Arial" w:hAnsi="Arial" w:cs="Arial"/>
          <w:b/>
          <w:u w:val="single"/>
        </w:rPr>
        <w:t xml:space="preserve">Provision of Bad &amp; Doubtful Debts </w:t>
      </w:r>
    </w:p>
    <w:p w:rsidR="008973F9" w:rsidRPr="00A877B9" w:rsidRDefault="008973F9" w:rsidP="008973F9">
      <w:pPr>
        <w:spacing w:after="0" w:line="240" w:lineRule="auto"/>
        <w:jc w:val="both"/>
        <w:rPr>
          <w:rFonts w:ascii="Arial" w:hAnsi="Arial" w:cs="Arial"/>
          <w:b/>
          <w:u w:val="single"/>
        </w:rPr>
      </w:pPr>
    </w:p>
    <w:p w:rsidR="008973F9" w:rsidRDefault="00BA2440" w:rsidP="008973F9">
      <w:pPr>
        <w:pStyle w:val="ListParagraph"/>
        <w:spacing w:line="240" w:lineRule="auto"/>
        <w:jc w:val="both"/>
        <w:rPr>
          <w:rFonts w:ascii="Arial" w:hAnsi="Arial" w:cs="Arial"/>
        </w:rPr>
      </w:pPr>
      <w:r w:rsidRPr="00A877B9">
        <w:rPr>
          <w:rFonts w:ascii="Arial" w:hAnsi="Arial" w:cs="Arial"/>
        </w:rPr>
        <w:t xml:space="preserve">Hon’ble commission will decide the matter relating Provision of Bad and doubtful debts on the basis of the report of the independent Auditors appointed by the Hon’ble Commission. The collection inefficiency may be considered as bad debt. </w:t>
      </w:r>
      <w:r w:rsidR="008973F9" w:rsidRPr="00A877B9">
        <w:rPr>
          <w:rFonts w:ascii="Arial" w:hAnsi="Arial" w:cs="Arial"/>
        </w:rPr>
        <w:t>N</w:t>
      </w:r>
      <w:r w:rsidRPr="00A877B9">
        <w:rPr>
          <w:rFonts w:ascii="Arial" w:hAnsi="Arial" w:cs="Arial"/>
        </w:rPr>
        <w:t>ESCO is also taking action against the defaulting consumers for</w:t>
      </w:r>
      <w:r w:rsidR="00E93571" w:rsidRPr="00A877B9">
        <w:rPr>
          <w:rFonts w:ascii="Arial" w:hAnsi="Arial" w:cs="Arial"/>
        </w:rPr>
        <w:t xml:space="preserve"> disconnection of power supply and collection efficiency at LT level has also increased during first six months of current FY.</w:t>
      </w:r>
    </w:p>
    <w:p w:rsidR="00E93571" w:rsidRDefault="00E93571" w:rsidP="008973F9">
      <w:pPr>
        <w:pStyle w:val="ListParagraph"/>
        <w:spacing w:line="240" w:lineRule="auto"/>
        <w:jc w:val="both"/>
        <w:rPr>
          <w:rFonts w:ascii="Arial" w:hAnsi="Arial" w:cs="Arial"/>
        </w:rPr>
      </w:pPr>
    </w:p>
    <w:p w:rsidR="00E93571" w:rsidRPr="00AF6301" w:rsidRDefault="00E93571" w:rsidP="00E93571">
      <w:pPr>
        <w:pStyle w:val="ListParagraph"/>
        <w:numPr>
          <w:ilvl w:val="0"/>
          <w:numId w:val="1"/>
        </w:numPr>
        <w:spacing w:after="0" w:line="240" w:lineRule="auto"/>
        <w:ind w:hanging="630"/>
        <w:jc w:val="both"/>
        <w:rPr>
          <w:rFonts w:ascii="Arial" w:hAnsi="Arial" w:cs="Arial"/>
        </w:rPr>
      </w:pPr>
      <w:r>
        <w:rPr>
          <w:rFonts w:ascii="Arial" w:hAnsi="Arial" w:cs="Arial"/>
        </w:rPr>
        <w:t xml:space="preserve">The objector </w:t>
      </w:r>
      <w:r w:rsidRPr="00AF6301">
        <w:rPr>
          <w:rFonts w:ascii="Arial" w:hAnsi="Arial" w:cs="Arial"/>
        </w:rPr>
        <w:t xml:space="preserve">needs to go through the section 62(3) of IE Act in its true spirit. The section 62(3) provides </w:t>
      </w:r>
    </w:p>
    <w:p w:rsidR="00E93571" w:rsidRPr="00AF6301" w:rsidRDefault="00E93571" w:rsidP="00E93571">
      <w:pPr>
        <w:pStyle w:val="ListParagraph"/>
        <w:spacing w:after="0" w:line="240" w:lineRule="auto"/>
        <w:ind w:left="630"/>
        <w:jc w:val="both"/>
        <w:rPr>
          <w:rFonts w:ascii="Arial" w:hAnsi="Arial" w:cs="Arial"/>
        </w:rPr>
      </w:pPr>
      <w:r w:rsidRPr="00E93571">
        <w:rPr>
          <w:rFonts w:ascii="Arial" w:hAnsi="Arial" w:cs="Arial"/>
          <w:b/>
        </w:rPr>
        <w:t xml:space="preserve">Quote </w:t>
      </w:r>
      <w:r w:rsidRPr="00AF6301">
        <w:rPr>
          <w:rFonts w:ascii="Arial" w:hAnsi="Arial" w:cs="Arial"/>
        </w:rPr>
        <w:t xml:space="preserve">: “ </w:t>
      </w:r>
      <w:r w:rsidRPr="00E93571">
        <w:rPr>
          <w:rFonts w:ascii="Arial" w:hAnsi="Arial" w:cs="Arial"/>
          <w:i/>
        </w:rPr>
        <w:t>The Appropriate Commission shall not , while determining the tariff under this Act, show undue preference to any consumer of electricity but may differentiate according to the consumer’s load factor , power factor, voltage, total consumption of electricity during any specified period or the time at which the supply is required or the geographical position of any area, the nature of supply and the purpose for which the supply is required</w:t>
      </w:r>
      <w:r w:rsidRPr="00AF6301">
        <w:rPr>
          <w:rFonts w:ascii="Arial" w:hAnsi="Arial" w:cs="Arial"/>
        </w:rPr>
        <w:t>. “</w:t>
      </w:r>
    </w:p>
    <w:p w:rsidR="00E93571" w:rsidRPr="00AF6301" w:rsidRDefault="00E93571" w:rsidP="00E93571">
      <w:pPr>
        <w:pStyle w:val="ListParagraph"/>
        <w:spacing w:after="0" w:line="240" w:lineRule="auto"/>
        <w:ind w:left="630"/>
        <w:jc w:val="both"/>
        <w:rPr>
          <w:rFonts w:ascii="Arial" w:hAnsi="Arial" w:cs="Arial"/>
        </w:rPr>
      </w:pPr>
      <w:r w:rsidRPr="00AF6301">
        <w:rPr>
          <w:rFonts w:ascii="Arial" w:hAnsi="Arial" w:cs="Arial"/>
        </w:rPr>
        <w:t xml:space="preserve">It is only the Hon’ble Commission to decide the applicability or withdrawal of </w:t>
      </w:r>
      <w:r w:rsidR="00DF432C">
        <w:rPr>
          <w:rFonts w:ascii="Arial" w:hAnsi="Arial" w:cs="Arial"/>
        </w:rPr>
        <w:t>any special tariff or</w:t>
      </w:r>
      <w:r w:rsidRPr="00AF6301">
        <w:rPr>
          <w:rFonts w:ascii="Arial" w:hAnsi="Arial" w:cs="Arial"/>
        </w:rPr>
        <w:t xml:space="preserve"> incentive scheme during the Financial Year 201</w:t>
      </w:r>
      <w:r w:rsidR="00DF432C">
        <w:rPr>
          <w:rFonts w:ascii="Arial" w:hAnsi="Arial" w:cs="Arial"/>
        </w:rPr>
        <w:t>5</w:t>
      </w:r>
      <w:r w:rsidRPr="00AF6301">
        <w:rPr>
          <w:rFonts w:ascii="Arial" w:hAnsi="Arial" w:cs="Arial"/>
        </w:rPr>
        <w:t>-1</w:t>
      </w:r>
      <w:r w:rsidR="00DF432C">
        <w:rPr>
          <w:rFonts w:ascii="Arial" w:hAnsi="Arial" w:cs="Arial"/>
        </w:rPr>
        <w:t>6</w:t>
      </w:r>
      <w:r w:rsidRPr="00AF6301">
        <w:rPr>
          <w:rFonts w:ascii="Arial" w:hAnsi="Arial" w:cs="Arial"/>
        </w:rPr>
        <w:t xml:space="preserve"> in the context of the present power scenario and tariff requirements. </w:t>
      </w:r>
    </w:p>
    <w:p w:rsidR="00E93571" w:rsidRDefault="00E93571" w:rsidP="00E93571">
      <w:pPr>
        <w:pStyle w:val="ListParagraph"/>
        <w:spacing w:line="240" w:lineRule="auto"/>
        <w:ind w:left="630"/>
        <w:jc w:val="both"/>
        <w:rPr>
          <w:rFonts w:ascii="Arial" w:hAnsi="Arial" w:cs="Arial"/>
        </w:rPr>
      </w:pPr>
    </w:p>
    <w:p w:rsidR="00A848A4" w:rsidRDefault="00A848A4" w:rsidP="00A848A4">
      <w:pPr>
        <w:pStyle w:val="ListParagraph"/>
        <w:numPr>
          <w:ilvl w:val="0"/>
          <w:numId w:val="1"/>
        </w:numPr>
        <w:spacing w:line="240" w:lineRule="auto"/>
        <w:ind w:hanging="630"/>
        <w:jc w:val="both"/>
        <w:rPr>
          <w:rFonts w:ascii="Arial" w:hAnsi="Arial" w:cs="Arial"/>
        </w:rPr>
      </w:pPr>
      <w:r w:rsidRPr="004B7326">
        <w:rPr>
          <w:rFonts w:ascii="Arial" w:hAnsi="Arial" w:cs="Arial"/>
        </w:rPr>
        <w:t>The, reply to the queries  of the Hon’ble OERC regarding the  Annual Revenue Requirement &amp; Retail Supply Tariff Application filed by NESCO for the year 201</w:t>
      </w:r>
      <w:r>
        <w:rPr>
          <w:rFonts w:ascii="Arial" w:hAnsi="Arial" w:cs="Arial"/>
        </w:rPr>
        <w:t>5</w:t>
      </w:r>
      <w:r w:rsidRPr="004B7326">
        <w:rPr>
          <w:rFonts w:ascii="Arial" w:hAnsi="Arial" w:cs="Arial"/>
        </w:rPr>
        <w:t>-1</w:t>
      </w:r>
      <w:r>
        <w:rPr>
          <w:rFonts w:ascii="Arial" w:hAnsi="Arial" w:cs="Arial"/>
        </w:rPr>
        <w:t>6</w:t>
      </w:r>
      <w:r w:rsidRPr="004B7326">
        <w:rPr>
          <w:rFonts w:ascii="Arial" w:hAnsi="Arial" w:cs="Arial"/>
        </w:rPr>
        <w:t xml:space="preserve"> have been placed in NESCO website </w:t>
      </w:r>
      <w:hyperlink r:id="rId7" w:history="1">
        <w:r w:rsidRPr="008F381C">
          <w:rPr>
            <w:rStyle w:val="Hyperlink"/>
            <w:rFonts w:ascii="Arial" w:hAnsi="Arial" w:cs="Arial"/>
          </w:rPr>
          <w:t>www.nescoodisha.com</w:t>
        </w:r>
      </w:hyperlink>
      <w:r w:rsidRPr="004B7326">
        <w:rPr>
          <w:rFonts w:ascii="Arial" w:hAnsi="Arial" w:cs="Arial"/>
        </w:rPr>
        <w:t>,  which may please  be referred.</w:t>
      </w:r>
      <w:r>
        <w:rPr>
          <w:rFonts w:ascii="Arial" w:hAnsi="Arial" w:cs="Arial"/>
        </w:rPr>
        <w:t xml:space="preserve"> The submission of NESCO on OERC (Terms and Conditions of Determination of Wheeling Tariff &amp; Retail Supply Tariff) Regulations, 2014 dated 12.01.2015 is enclosed here with.</w:t>
      </w:r>
    </w:p>
    <w:p w:rsidR="00A848A4" w:rsidRDefault="00A848A4" w:rsidP="00BC3149">
      <w:pPr>
        <w:pStyle w:val="NoSpacing"/>
        <w:ind w:left="5760"/>
        <w:rPr>
          <w:rFonts w:ascii="Arial" w:hAnsi="Arial" w:cs="Arial"/>
        </w:rPr>
      </w:pPr>
    </w:p>
    <w:p w:rsidR="00BC3149" w:rsidRPr="00135689" w:rsidRDefault="00BC3149" w:rsidP="00BC3149">
      <w:pPr>
        <w:pStyle w:val="NoSpacing"/>
        <w:ind w:left="5760"/>
        <w:rPr>
          <w:rFonts w:ascii="Arial" w:hAnsi="Arial" w:cs="Arial"/>
        </w:rPr>
      </w:pPr>
      <w:r w:rsidRPr="00135689">
        <w:rPr>
          <w:rFonts w:ascii="Arial" w:hAnsi="Arial" w:cs="Arial"/>
        </w:rPr>
        <w:t xml:space="preserve">For and on behalf of   </w:t>
      </w:r>
    </w:p>
    <w:p w:rsidR="00BC3149" w:rsidRPr="00135689" w:rsidRDefault="00BC3149" w:rsidP="00BC3149">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LTD </w:t>
      </w:r>
    </w:p>
    <w:p w:rsidR="008276F2" w:rsidRDefault="008276F2" w:rsidP="00BC3149">
      <w:pPr>
        <w:pStyle w:val="NoSpacing"/>
        <w:rPr>
          <w:rFonts w:ascii="Arial" w:hAnsi="Arial" w:cs="Arial"/>
          <w:b/>
        </w:rPr>
      </w:pPr>
    </w:p>
    <w:p w:rsidR="00BC3149" w:rsidRPr="00135689" w:rsidRDefault="008276F2" w:rsidP="00BC3149">
      <w:pPr>
        <w:pStyle w:val="NoSpacing"/>
        <w:rPr>
          <w:rFonts w:ascii="Arial" w:hAnsi="Arial" w:cs="Arial"/>
          <w:b/>
        </w:rPr>
      </w:pPr>
      <w:r>
        <w:rPr>
          <w:rFonts w:ascii="Arial" w:hAnsi="Arial" w:cs="Arial"/>
          <w:b/>
        </w:rPr>
        <w:t>3</w:t>
      </w:r>
      <w:r w:rsidR="00E46A31">
        <w:rPr>
          <w:rFonts w:ascii="Arial" w:hAnsi="Arial" w:cs="Arial"/>
          <w:b/>
        </w:rPr>
        <w:t>0</w:t>
      </w:r>
      <w:r w:rsidR="00BC3149" w:rsidRPr="00135689">
        <w:rPr>
          <w:rFonts w:ascii="Arial" w:hAnsi="Arial" w:cs="Arial"/>
          <w:b/>
        </w:rPr>
        <w:t>.01.1</w:t>
      </w:r>
      <w:r w:rsidR="00AF0ED1">
        <w:rPr>
          <w:rFonts w:ascii="Arial" w:hAnsi="Arial" w:cs="Arial"/>
          <w:b/>
        </w:rPr>
        <w:t>5</w:t>
      </w:r>
      <w:r w:rsidR="00BC3149" w:rsidRPr="00135689">
        <w:rPr>
          <w:rFonts w:ascii="Arial" w:hAnsi="Arial" w:cs="Arial"/>
          <w:b/>
        </w:rPr>
        <w:tab/>
      </w:r>
      <w:r w:rsidR="00BC3149" w:rsidRPr="00135689">
        <w:rPr>
          <w:rFonts w:ascii="Arial" w:hAnsi="Arial" w:cs="Arial"/>
          <w:b/>
        </w:rPr>
        <w:tab/>
      </w:r>
      <w:r w:rsidR="00BC3149" w:rsidRPr="00135689">
        <w:rPr>
          <w:rFonts w:ascii="Arial" w:hAnsi="Arial" w:cs="Arial"/>
          <w:b/>
        </w:rPr>
        <w:tab/>
      </w:r>
    </w:p>
    <w:p w:rsidR="00BC3149" w:rsidRPr="00135689" w:rsidRDefault="00BC3149" w:rsidP="00BC3149">
      <w:pPr>
        <w:pStyle w:val="NoSpacing"/>
        <w:rPr>
          <w:rFonts w:ascii="Arial" w:hAnsi="Arial" w:cs="Arial"/>
          <w:b/>
        </w:rPr>
      </w:pPr>
      <w:r w:rsidRPr="00135689">
        <w:rPr>
          <w:rFonts w:ascii="Arial" w:hAnsi="Arial" w:cs="Arial"/>
          <w:b/>
        </w:rPr>
        <w:t xml:space="preserve">                                    </w:t>
      </w:r>
      <w:r>
        <w:rPr>
          <w:rFonts w:ascii="Arial" w:hAnsi="Arial" w:cs="Arial"/>
          <w:b/>
        </w:rPr>
        <w:t xml:space="preserve">                                                           </w:t>
      </w:r>
      <w:r w:rsidR="009329D1">
        <w:rPr>
          <w:rFonts w:ascii="Arial" w:hAnsi="Arial" w:cs="Arial"/>
          <w:b/>
        </w:rPr>
        <w:t>Sr. General Manager</w:t>
      </w:r>
    </w:p>
    <w:p w:rsidR="002163D1" w:rsidRPr="00AF6301" w:rsidRDefault="002163D1" w:rsidP="00BC3149">
      <w:pPr>
        <w:tabs>
          <w:tab w:val="left" w:pos="5940"/>
        </w:tabs>
        <w:spacing w:line="360" w:lineRule="auto"/>
        <w:jc w:val="both"/>
        <w:rPr>
          <w:rFonts w:ascii="Arial" w:hAnsi="Arial" w:cs="Arial"/>
          <w:b/>
        </w:rPr>
      </w:pPr>
    </w:p>
    <w:p w:rsidR="002163D1" w:rsidRPr="00AF6301" w:rsidRDefault="002163D1" w:rsidP="002163D1">
      <w:pPr>
        <w:rPr>
          <w:rFonts w:ascii="Arial" w:hAnsi="Arial" w:cs="Arial"/>
        </w:rPr>
      </w:pPr>
      <w:r w:rsidRPr="00AF6301">
        <w:rPr>
          <w:rFonts w:ascii="Arial" w:hAnsi="Arial" w:cs="Arial"/>
        </w:rPr>
        <w:t xml:space="preserve">C.C. to </w:t>
      </w:r>
      <w:r w:rsidR="002032CC">
        <w:rPr>
          <w:rFonts w:ascii="Arial" w:hAnsi="Arial" w:cs="Arial"/>
        </w:rPr>
        <w:t>Sri Manikanta Naik, Chief Resident Executive, Tata Steel Ltd, Plot No. 273, Bhouma Nagar, Unit-IV, Bhubaneswar.</w:t>
      </w:r>
    </w:p>
    <w:p w:rsidR="005A1570" w:rsidRPr="00AF6301" w:rsidRDefault="005A1570">
      <w:pPr>
        <w:rPr>
          <w:rFonts w:ascii="Arial" w:hAnsi="Arial" w:cs="Arial"/>
        </w:rPr>
      </w:pPr>
    </w:p>
    <w:sectPr w:rsidR="005A1570" w:rsidRPr="00AF6301" w:rsidSect="00EC6C81">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12E" w:rsidRDefault="0017512E" w:rsidP="00061D32">
      <w:pPr>
        <w:spacing w:after="0" w:line="240" w:lineRule="auto"/>
      </w:pPr>
      <w:r>
        <w:separator/>
      </w:r>
    </w:p>
  </w:endnote>
  <w:endnote w:type="continuationSeparator" w:id="1">
    <w:p w:rsidR="0017512E" w:rsidRDefault="0017512E" w:rsidP="00061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D5B" w:rsidRDefault="001751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12E" w:rsidRDefault="0017512E" w:rsidP="00061D32">
      <w:pPr>
        <w:spacing w:after="0" w:line="240" w:lineRule="auto"/>
      </w:pPr>
      <w:r>
        <w:separator/>
      </w:r>
    </w:p>
  </w:footnote>
  <w:footnote w:type="continuationSeparator" w:id="1">
    <w:p w:rsidR="0017512E" w:rsidRDefault="0017512E" w:rsidP="00061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A7F"/>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541D2"/>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2163D1"/>
    <w:rsid w:val="00061D32"/>
    <w:rsid w:val="00130169"/>
    <w:rsid w:val="0017512E"/>
    <w:rsid w:val="001B2BF8"/>
    <w:rsid w:val="001B32B2"/>
    <w:rsid w:val="001D6668"/>
    <w:rsid w:val="002032CC"/>
    <w:rsid w:val="00212271"/>
    <w:rsid w:val="002163D1"/>
    <w:rsid w:val="002758B7"/>
    <w:rsid w:val="0028171F"/>
    <w:rsid w:val="002A596A"/>
    <w:rsid w:val="002C26C4"/>
    <w:rsid w:val="002D5E8F"/>
    <w:rsid w:val="002E4450"/>
    <w:rsid w:val="002E58F5"/>
    <w:rsid w:val="002E621D"/>
    <w:rsid w:val="002F59CD"/>
    <w:rsid w:val="00304A16"/>
    <w:rsid w:val="003538F7"/>
    <w:rsid w:val="003642EF"/>
    <w:rsid w:val="003710DD"/>
    <w:rsid w:val="00396FC3"/>
    <w:rsid w:val="00417096"/>
    <w:rsid w:val="00486C6C"/>
    <w:rsid w:val="004A0905"/>
    <w:rsid w:val="004A4DAF"/>
    <w:rsid w:val="004D5980"/>
    <w:rsid w:val="004E5D4E"/>
    <w:rsid w:val="00530FD5"/>
    <w:rsid w:val="00577FDE"/>
    <w:rsid w:val="005A1570"/>
    <w:rsid w:val="005B3199"/>
    <w:rsid w:val="005B5B7E"/>
    <w:rsid w:val="00600873"/>
    <w:rsid w:val="00622D15"/>
    <w:rsid w:val="006307B7"/>
    <w:rsid w:val="006337DF"/>
    <w:rsid w:val="00693859"/>
    <w:rsid w:val="006B42CD"/>
    <w:rsid w:val="00703372"/>
    <w:rsid w:val="007742BE"/>
    <w:rsid w:val="00822CE7"/>
    <w:rsid w:val="008276F2"/>
    <w:rsid w:val="008973F9"/>
    <w:rsid w:val="009013C9"/>
    <w:rsid w:val="009329D1"/>
    <w:rsid w:val="009B37D3"/>
    <w:rsid w:val="009D61FC"/>
    <w:rsid w:val="00A470E8"/>
    <w:rsid w:val="00A718BA"/>
    <w:rsid w:val="00A81EDE"/>
    <w:rsid w:val="00A848A4"/>
    <w:rsid w:val="00A877B9"/>
    <w:rsid w:val="00AA77EF"/>
    <w:rsid w:val="00AE3D16"/>
    <w:rsid w:val="00AF0ED1"/>
    <w:rsid w:val="00AF6301"/>
    <w:rsid w:val="00B010C4"/>
    <w:rsid w:val="00B01C16"/>
    <w:rsid w:val="00B9067A"/>
    <w:rsid w:val="00BA2440"/>
    <w:rsid w:val="00BA2E27"/>
    <w:rsid w:val="00BC3149"/>
    <w:rsid w:val="00C10368"/>
    <w:rsid w:val="00C244A7"/>
    <w:rsid w:val="00C35FC8"/>
    <w:rsid w:val="00C675E5"/>
    <w:rsid w:val="00C94B49"/>
    <w:rsid w:val="00CA1C1F"/>
    <w:rsid w:val="00DE48A0"/>
    <w:rsid w:val="00DF0BDD"/>
    <w:rsid w:val="00DF1A0A"/>
    <w:rsid w:val="00DF432C"/>
    <w:rsid w:val="00E46A31"/>
    <w:rsid w:val="00E93571"/>
    <w:rsid w:val="00F24122"/>
    <w:rsid w:val="00F91E5F"/>
    <w:rsid w:val="00FB3273"/>
    <w:rsid w:val="00FB6A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163D1"/>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2163D1"/>
    <w:rPr>
      <w:rFonts w:ascii="Times New Roman" w:eastAsia="Times New Roman" w:hAnsi="Times New Roman" w:cs="Times New Roman"/>
      <w:sz w:val="24"/>
      <w:szCs w:val="24"/>
      <w:lang w:val="en-US" w:eastAsia="en-US"/>
    </w:rPr>
  </w:style>
  <w:style w:type="character" w:styleId="Hyperlink">
    <w:name w:val="Hyperlink"/>
    <w:basedOn w:val="DefaultParagraphFont"/>
    <w:rsid w:val="002163D1"/>
    <w:rPr>
      <w:color w:val="0000FF"/>
      <w:u w:val="single"/>
    </w:rPr>
  </w:style>
  <w:style w:type="paragraph" w:styleId="ListParagraph">
    <w:name w:val="List Paragraph"/>
    <w:basedOn w:val="Normal"/>
    <w:uiPriority w:val="34"/>
    <w:qFormat/>
    <w:rsid w:val="002163D1"/>
    <w:pPr>
      <w:ind w:left="720"/>
      <w:contextualSpacing/>
    </w:pPr>
  </w:style>
  <w:style w:type="paragraph" w:styleId="BodyText2">
    <w:name w:val="Body Text 2"/>
    <w:basedOn w:val="Normal"/>
    <w:link w:val="BodyText2Char"/>
    <w:uiPriority w:val="99"/>
    <w:semiHidden/>
    <w:unhideWhenUsed/>
    <w:rsid w:val="002163D1"/>
    <w:pPr>
      <w:spacing w:after="120" w:line="480" w:lineRule="auto"/>
    </w:pPr>
  </w:style>
  <w:style w:type="character" w:customStyle="1" w:styleId="BodyText2Char">
    <w:name w:val="Body Text 2 Char"/>
    <w:basedOn w:val="DefaultParagraphFont"/>
    <w:link w:val="BodyText2"/>
    <w:uiPriority w:val="99"/>
    <w:semiHidden/>
    <w:rsid w:val="002163D1"/>
  </w:style>
  <w:style w:type="paragraph" w:styleId="NoSpacing">
    <w:name w:val="No Spacing"/>
    <w:uiPriority w:val="1"/>
    <w:qFormat/>
    <w:rsid w:val="002163D1"/>
    <w:pPr>
      <w:spacing w:after="0" w:line="240" w:lineRule="auto"/>
    </w:pPr>
  </w:style>
  <w:style w:type="paragraph" w:styleId="Footer">
    <w:name w:val="footer"/>
    <w:basedOn w:val="Normal"/>
    <w:link w:val="FooterChar"/>
    <w:uiPriority w:val="99"/>
    <w:unhideWhenUsed/>
    <w:rsid w:val="00216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3D1"/>
  </w:style>
  <w:style w:type="paragraph" w:styleId="Caption">
    <w:name w:val="caption"/>
    <w:basedOn w:val="Normal"/>
    <w:next w:val="Normal"/>
    <w:uiPriority w:val="99"/>
    <w:qFormat/>
    <w:rsid w:val="005B3199"/>
    <w:pPr>
      <w:spacing w:before="120" w:after="120" w:line="240" w:lineRule="auto"/>
    </w:pPr>
    <w:rPr>
      <w:rFonts w:ascii="Arial" w:eastAsia="Times New Roman" w:hAnsi="Arial"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2</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29</cp:revision>
  <dcterms:created xsi:type="dcterms:W3CDTF">2013-01-29T07:14:00Z</dcterms:created>
  <dcterms:modified xsi:type="dcterms:W3CDTF">2015-01-30T10:41:00Z</dcterms:modified>
</cp:coreProperties>
</file>